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7F" w:rsidRPr="000A767F" w:rsidRDefault="000A767F" w:rsidP="000A767F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333399"/>
          <w:sz w:val="26"/>
          <w:szCs w:val="24"/>
          <w:lang w:val="es-MX" w:eastAsia="es-ES"/>
        </w:rPr>
      </w:pPr>
      <w:r w:rsidRPr="000A767F">
        <w:rPr>
          <w:rFonts w:ascii="Arial" w:eastAsia="Times New Roman" w:hAnsi="Arial" w:cs="Arial"/>
          <w:b/>
          <w:bCs/>
          <w:color w:val="333399"/>
          <w:sz w:val="26"/>
          <w:szCs w:val="24"/>
          <w:lang w:val="es-MX" w:eastAsia="es-ES"/>
        </w:rPr>
        <w:t>CARLOS FRANCISCO KRUMEL LOBOS</w:t>
      </w:r>
    </w:p>
    <w:p w:rsidR="000A767F" w:rsidRPr="000A767F" w:rsidRDefault="000A767F" w:rsidP="000A7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CL"/>
        </w:rPr>
        <w:drawing>
          <wp:inline distT="0" distB="0" distL="0" distR="0">
            <wp:extent cx="801370" cy="1027430"/>
            <wp:effectExtent l="0" t="0" r="0" b="1270"/>
            <wp:docPr id="1" name="Imagen 1" descr="Escan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anea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34" t="47371" r="50920" b="34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67F" w:rsidRPr="000A767F" w:rsidRDefault="000A767F" w:rsidP="000A7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  <w:lang w:val="es-MX" w:eastAsia="es-ES"/>
        </w:rPr>
      </w:pPr>
    </w:p>
    <w:p w:rsidR="000A767F" w:rsidRPr="000A767F" w:rsidRDefault="000A767F" w:rsidP="000A767F">
      <w:pPr>
        <w:spacing w:after="0" w:line="240" w:lineRule="auto"/>
        <w:jc w:val="center"/>
        <w:rPr>
          <w:rFonts w:ascii="Arial" w:eastAsia="Times New Roman" w:hAnsi="Arial" w:cs="Arial"/>
          <w:b/>
          <w:color w:val="333399"/>
          <w:szCs w:val="20"/>
          <w:lang w:val="es-MX" w:eastAsia="es-ES"/>
        </w:rPr>
      </w:pPr>
      <w:r w:rsidRPr="000A767F">
        <w:rPr>
          <w:rFonts w:ascii="Arial" w:eastAsia="Times New Roman" w:hAnsi="Arial" w:cs="Arial"/>
          <w:b/>
          <w:color w:val="333399"/>
          <w:szCs w:val="20"/>
          <w:lang w:val="es-MX" w:eastAsia="es-ES"/>
        </w:rPr>
        <w:t>Av. Walker Martínez # 2923 – La Florida</w:t>
      </w:r>
    </w:p>
    <w:p w:rsidR="000A767F" w:rsidRPr="000A767F" w:rsidRDefault="000A767F" w:rsidP="000A767F">
      <w:pPr>
        <w:spacing w:after="0" w:line="240" w:lineRule="auto"/>
        <w:jc w:val="center"/>
        <w:rPr>
          <w:rFonts w:ascii="Arial" w:eastAsia="Times New Roman" w:hAnsi="Arial" w:cs="Arial"/>
          <w:b/>
          <w:color w:val="333399"/>
          <w:szCs w:val="20"/>
          <w:lang w:val="es-MX" w:eastAsia="es-ES"/>
        </w:rPr>
      </w:pPr>
      <w:r w:rsidRPr="000A767F">
        <w:rPr>
          <w:rFonts w:ascii="Arial" w:eastAsia="Times New Roman" w:hAnsi="Arial" w:cs="Arial"/>
          <w:b/>
          <w:color w:val="333399"/>
          <w:szCs w:val="20"/>
          <w:lang w:val="es-MX" w:eastAsia="es-ES"/>
        </w:rPr>
        <w:t>Teléfono</w:t>
      </w:r>
      <w:proofErr w:type="gramStart"/>
      <w:r w:rsidRPr="000A767F">
        <w:rPr>
          <w:rFonts w:ascii="Arial" w:eastAsia="Times New Roman" w:hAnsi="Arial" w:cs="Arial"/>
          <w:b/>
          <w:color w:val="333399"/>
          <w:szCs w:val="20"/>
          <w:lang w:val="es-MX" w:eastAsia="es-ES"/>
        </w:rPr>
        <w:t>:</w:t>
      </w:r>
      <w:r w:rsidR="00E65278">
        <w:rPr>
          <w:rFonts w:ascii="Arial" w:eastAsia="Times New Roman" w:hAnsi="Arial" w:cs="Arial"/>
          <w:b/>
          <w:color w:val="333399"/>
          <w:szCs w:val="20"/>
          <w:lang w:val="es-MX" w:eastAsia="es-ES"/>
        </w:rPr>
        <w:t>2</w:t>
      </w:r>
      <w:proofErr w:type="gramEnd"/>
      <w:r w:rsidR="00E65278">
        <w:rPr>
          <w:rFonts w:ascii="Arial" w:eastAsia="Times New Roman" w:hAnsi="Arial" w:cs="Arial"/>
          <w:b/>
          <w:color w:val="333399"/>
          <w:szCs w:val="20"/>
          <w:lang w:val="es-MX" w:eastAsia="es-ES"/>
        </w:rPr>
        <w:t xml:space="preserve"> 4931233  /  9</w:t>
      </w:r>
      <w:r w:rsidRPr="000A767F">
        <w:rPr>
          <w:rFonts w:ascii="Arial" w:eastAsia="Times New Roman" w:hAnsi="Arial" w:cs="Arial"/>
          <w:b/>
          <w:color w:val="333399"/>
          <w:szCs w:val="20"/>
          <w:lang w:val="es-MX" w:eastAsia="es-ES"/>
        </w:rPr>
        <w:t>-</w:t>
      </w:r>
      <w:r w:rsidR="00E65278">
        <w:rPr>
          <w:rFonts w:ascii="Arial" w:eastAsia="Times New Roman" w:hAnsi="Arial" w:cs="Arial"/>
          <w:b/>
          <w:color w:val="333399"/>
          <w:szCs w:val="20"/>
          <w:lang w:val="es-MX" w:eastAsia="es-ES"/>
        </w:rPr>
        <w:t>8</w:t>
      </w:r>
      <w:r w:rsidRPr="000A767F">
        <w:rPr>
          <w:rFonts w:ascii="Arial" w:eastAsia="Times New Roman" w:hAnsi="Arial" w:cs="Arial"/>
          <w:b/>
          <w:color w:val="333399"/>
          <w:szCs w:val="20"/>
          <w:lang w:val="es-MX" w:eastAsia="es-ES"/>
        </w:rPr>
        <w:t>3612598</w:t>
      </w:r>
    </w:p>
    <w:p w:rsidR="000A767F" w:rsidRPr="000A767F" w:rsidRDefault="000A767F" w:rsidP="000A767F">
      <w:pPr>
        <w:spacing w:after="0" w:line="240" w:lineRule="auto"/>
        <w:jc w:val="center"/>
        <w:rPr>
          <w:rFonts w:ascii="Arial" w:eastAsia="Times New Roman" w:hAnsi="Arial" w:cs="Arial"/>
          <w:b/>
          <w:color w:val="333399"/>
          <w:szCs w:val="20"/>
          <w:lang w:val="en-US" w:eastAsia="es-ES"/>
        </w:rPr>
      </w:pPr>
      <w:r w:rsidRPr="000A767F">
        <w:rPr>
          <w:rFonts w:ascii="Arial" w:eastAsia="Times New Roman" w:hAnsi="Arial" w:cs="Arial"/>
          <w:b/>
          <w:color w:val="333399"/>
          <w:szCs w:val="20"/>
          <w:lang w:val="en-US" w:eastAsia="es-ES"/>
        </w:rPr>
        <w:t>carlos.fco.krumel@gmail.com</w:t>
      </w:r>
    </w:p>
    <w:p w:rsidR="000A767F" w:rsidRPr="00E65278" w:rsidRDefault="000A767F" w:rsidP="000A767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99"/>
          <w:szCs w:val="24"/>
          <w:lang w:val="en-US" w:eastAsia="es-ES"/>
        </w:rPr>
      </w:pPr>
      <w:r w:rsidRPr="00E65278">
        <w:rPr>
          <w:rFonts w:ascii="Arial" w:eastAsia="Times New Roman" w:hAnsi="Arial" w:cs="Arial"/>
          <w:b/>
          <w:color w:val="333399"/>
          <w:szCs w:val="24"/>
          <w:lang w:val="en-US" w:eastAsia="es-ES"/>
        </w:rPr>
        <w:t>Santiago – Chile</w:t>
      </w:r>
    </w:p>
    <w:p w:rsidR="000A767F" w:rsidRPr="00E65278" w:rsidRDefault="000A767F" w:rsidP="000A767F">
      <w:pPr>
        <w:spacing w:after="0" w:line="240" w:lineRule="auto"/>
        <w:rPr>
          <w:rFonts w:ascii="Arial" w:eastAsia="Times New Roman" w:hAnsi="Arial" w:cs="Arial"/>
          <w:sz w:val="10"/>
          <w:szCs w:val="20"/>
          <w:lang w:val="en-US" w:eastAsia="es-ES"/>
        </w:rPr>
      </w:pPr>
    </w:p>
    <w:p w:rsidR="000A767F" w:rsidRPr="00E65278" w:rsidRDefault="000A767F" w:rsidP="000A767F">
      <w:pPr>
        <w:spacing w:after="0" w:line="240" w:lineRule="auto"/>
        <w:rPr>
          <w:rFonts w:ascii="Arial" w:eastAsia="Times New Roman" w:hAnsi="Arial" w:cs="Arial"/>
          <w:sz w:val="14"/>
          <w:szCs w:val="20"/>
          <w:lang w:val="en-US" w:eastAsia="es-ES"/>
        </w:rPr>
      </w:pPr>
    </w:p>
    <w:p w:rsidR="000A767F" w:rsidRPr="000A767F" w:rsidRDefault="000A767F" w:rsidP="000A767F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333399"/>
          <w:sz w:val="24"/>
          <w:szCs w:val="24"/>
          <w:u w:val="single"/>
          <w:lang w:eastAsia="es-ES"/>
        </w:rPr>
      </w:pPr>
      <w:r w:rsidRPr="000A767F">
        <w:rPr>
          <w:rFonts w:ascii="Arial" w:eastAsia="Times New Roman" w:hAnsi="Arial" w:cs="Arial"/>
          <w:b/>
          <w:i/>
          <w:color w:val="333399"/>
          <w:sz w:val="24"/>
          <w:szCs w:val="24"/>
          <w:u w:val="single"/>
          <w:lang w:eastAsia="es-ES"/>
        </w:rPr>
        <w:t>RESUMEN</w:t>
      </w:r>
    </w:p>
    <w:p w:rsidR="000A767F" w:rsidRPr="000A767F" w:rsidRDefault="000A767F" w:rsidP="000A767F">
      <w:pPr>
        <w:spacing w:after="0" w:line="240" w:lineRule="auto"/>
        <w:rPr>
          <w:rFonts w:ascii="Arial" w:eastAsia="Times New Roman" w:hAnsi="Arial" w:cs="Arial"/>
          <w:color w:val="333399"/>
          <w:sz w:val="12"/>
          <w:szCs w:val="20"/>
          <w:lang w:val="es-ES" w:eastAsia="es-ES"/>
        </w:rPr>
      </w:pPr>
    </w:p>
    <w:p w:rsid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Ingeniero ,</w:t>
      </w: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 xml:space="preserve"> de la Universidad Federico Santa María, con una vasta trayectoria en empresas de ingeniería, constructoras, entre otras, ocupando cargos gerenciales, jefaturas y administración de los recursos operacionales.  Ha sido responsable de la administración y dirección de contratos relacionados con el rubro minero, en diversas culturas y estrategias de negocios.</w:t>
      </w:r>
    </w:p>
    <w:p w:rsidR="00F11C98" w:rsidRPr="000A767F" w:rsidRDefault="00F11C98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</w:p>
    <w:p w:rsidR="000A767F" w:rsidRDefault="00F11C98" w:rsidP="000A767F">
      <w:pPr>
        <w:spacing w:after="120" w:line="240" w:lineRule="auto"/>
        <w:rPr>
          <w:rFonts w:ascii="Arial" w:eastAsia="Times New Roman" w:hAnsi="Arial" w:cs="Arial"/>
          <w:color w:val="333399"/>
          <w:sz w:val="12"/>
          <w:szCs w:val="20"/>
          <w:lang w:val="es-ES" w:eastAsia="es-ES"/>
        </w:rPr>
      </w:pPr>
      <w:r w:rsidRPr="000A767F"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>Experiencia Profesional Relevante</w:t>
      </w:r>
    </w:p>
    <w:p w:rsidR="00403F10" w:rsidRDefault="00F11C98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</w:pPr>
      <w:r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>F</w:t>
      </w:r>
      <w:r w:rsidR="00ED2CDF"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 xml:space="preserve">LUOR </w:t>
      </w:r>
      <w:proofErr w:type="gramStart"/>
      <w:r w:rsidR="00ED2CDF"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>AMECO</w:t>
      </w:r>
      <w:r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>(</w:t>
      </w:r>
      <w:proofErr w:type="gramEnd"/>
      <w:r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>2015</w:t>
      </w:r>
      <w:r w:rsidR="00E65278"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>-2016</w:t>
      </w:r>
      <w:r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>)</w:t>
      </w:r>
      <w:r w:rsidR="00ED2CDF"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 xml:space="preserve"> </w:t>
      </w:r>
    </w:p>
    <w:p w:rsidR="00403F10" w:rsidRDefault="00403F10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</w:pPr>
    </w:p>
    <w:p w:rsidR="00403F10" w:rsidRDefault="00403F10" w:rsidP="00403F10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Administr</w:t>
      </w:r>
      <w:r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ador de Contratos área del proyecto EBPE IV</w:t>
      </w:r>
    </w:p>
    <w:p w:rsidR="00403F10" w:rsidRPr="000A767F" w:rsidRDefault="00403F10" w:rsidP="00403F10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</w:p>
    <w:p w:rsidR="00E816F2" w:rsidRPr="00E816F2" w:rsidRDefault="00403F10" w:rsidP="00E816F2">
      <w:p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Con</w:t>
      </w:r>
      <w:r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trato BHP </w:t>
      </w:r>
      <w:proofErr w:type="spellStart"/>
      <w:r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Billiton</w:t>
      </w:r>
      <w:proofErr w:type="spellEnd"/>
      <w:r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Minera Escondida.</w:t>
      </w:r>
    </w:p>
    <w:p w:rsidR="00E816F2" w:rsidRDefault="00E816F2" w:rsidP="00E816F2">
      <w:pPr>
        <w:jc w:val="both"/>
        <w:rPr>
          <w:rFonts w:ascii="Arial" w:hAnsi="Arial"/>
          <w:lang w:val="es-ES"/>
        </w:rPr>
      </w:pPr>
    </w:p>
    <w:p w:rsidR="00E816F2" w:rsidRPr="00E816F2" w:rsidRDefault="00E816F2" w:rsidP="00E816F2">
      <w:pPr>
        <w:ind w:firstLine="360"/>
        <w:jc w:val="both"/>
        <w:rPr>
          <w:rFonts w:ascii="Arial" w:hAnsi="Arial"/>
          <w:color w:val="002060"/>
          <w:sz w:val="24"/>
          <w:szCs w:val="24"/>
        </w:rPr>
      </w:pPr>
      <w:r w:rsidRPr="00E816F2">
        <w:rPr>
          <w:rFonts w:ascii="Arial" w:hAnsi="Arial"/>
          <w:color w:val="002060"/>
          <w:sz w:val="24"/>
          <w:szCs w:val="24"/>
          <w:lang w:val="es-ES"/>
        </w:rPr>
        <w:t>A.-</w:t>
      </w:r>
      <w:r w:rsidRPr="00E816F2">
        <w:rPr>
          <w:rFonts w:ascii="Arial" w:hAnsi="Arial"/>
          <w:color w:val="002060"/>
          <w:sz w:val="24"/>
          <w:szCs w:val="24"/>
        </w:rPr>
        <w:t>Carguío y trasporte de mineral desde pilas hacia planta y fajas basales.</w:t>
      </w:r>
    </w:p>
    <w:p w:rsidR="00E816F2" w:rsidRPr="00E816F2" w:rsidRDefault="00E816F2" w:rsidP="00E816F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</w:pPr>
      <w:r w:rsidRPr="00E816F2">
        <w:rPr>
          <w:rFonts w:ascii="Arial" w:hAnsi="Arial"/>
          <w:color w:val="002060"/>
          <w:sz w:val="24"/>
          <w:szCs w:val="24"/>
        </w:rPr>
        <w:t>B.-Mantenimiento y operación de equipos.</w:t>
      </w:r>
      <w:r w:rsidRPr="00E816F2"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  <w:t xml:space="preserve"> </w:t>
      </w:r>
    </w:p>
    <w:p w:rsidR="00E816F2" w:rsidRPr="00E816F2" w:rsidRDefault="00E816F2" w:rsidP="00E816F2">
      <w:pPr>
        <w:spacing w:after="0" w:line="240" w:lineRule="auto"/>
        <w:ind w:left="426"/>
        <w:jc w:val="both"/>
        <w:rPr>
          <w:rFonts w:ascii="Arial" w:eastAsia="Times New Roman" w:hAnsi="Arial" w:cs="Arial"/>
          <w:color w:val="002060"/>
          <w:sz w:val="24"/>
          <w:szCs w:val="24"/>
          <w:lang w:val="es-ES" w:eastAsia="es-ES"/>
        </w:rPr>
      </w:pPr>
    </w:p>
    <w:p w:rsidR="00E816F2" w:rsidRPr="00E816F2" w:rsidRDefault="00E816F2" w:rsidP="00E816F2">
      <w:pPr>
        <w:ind w:firstLine="360"/>
        <w:jc w:val="both"/>
        <w:rPr>
          <w:rFonts w:ascii="Arial" w:hAnsi="Arial"/>
          <w:color w:val="002060"/>
          <w:sz w:val="24"/>
          <w:szCs w:val="24"/>
        </w:rPr>
      </w:pPr>
    </w:p>
    <w:p w:rsidR="00E816F2" w:rsidRPr="00E816F2" w:rsidRDefault="00E816F2" w:rsidP="00E816F2">
      <w:pPr>
        <w:jc w:val="both"/>
        <w:rPr>
          <w:rFonts w:ascii="Arial" w:hAnsi="Arial"/>
          <w:color w:val="002060"/>
          <w:sz w:val="24"/>
          <w:szCs w:val="24"/>
        </w:rPr>
      </w:pPr>
      <w:r w:rsidRPr="00E816F2">
        <w:rPr>
          <w:rFonts w:ascii="Arial" w:hAnsi="Arial"/>
          <w:color w:val="002060"/>
          <w:sz w:val="24"/>
          <w:szCs w:val="24"/>
        </w:rPr>
        <w:t xml:space="preserve">La eficacia del Contrato es medido por medio del cumplimiento del transporte de las Toneladas (ton) diarias de </w:t>
      </w:r>
      <w:proofErr w:type="spellStart"/>
      <w:r w:rsidRPr="00E816F2">
        <w:rPr>
          <w:rFonts w:ascii="Arial" w:hAnsi="Arial"/>
          <w:color w:val="002060"/>
          <w:sz w:val="24"/>
          <w:szCs w:val="24"/>
        </w:rPr>
        <w:t>Protective</w:t>
      </w:r>
      <w:proofErr w:type="spellEnd"/>
      <w:r w:rsidRPr="00E816F2">
        <w:rPr>
          <w:rFonts w:ascii="Arial" w:hAnsi="Arial"/>
          <w:color w:val="002060"/>
          <w:sz w:val="24"/>
          <w:szCs w:val="24"/>
        </w:rPr>
        <w:t xml:space="preserve"> </w:t>
      </w:r>
      <w:proofErr w:type="spellStart"/>
      <w:r w:rsidRPr="00E816F2">
        <w:rPr>
          <w:rFonts w:ascii="Arial" w:hAnsi="Arial"/>
          <w:color w:val="002060"/>
          <w:sz w:val="24"/>
          <w:szCs w:val="24"/>
        </w:rPr>
        <w:t>Layer</w:t>
      </w:r>
      <w:proofErr w:type="spellEnd"/>
      <w:r w:rsidRPr="00E816F2">
        <w:rPr>
          <w:rFonts w:ascii="Arial" w:hAnsi="Arial"/>
          <w:color w:val="002060"/>
          <w:sz w:val="24"/>
          <w:szCs w:val="24"/>
        </w:rPr>
        <w:t xml:space="preserve"> (PL) y de </w:t>
      </w:r>
      <w:proofErr w:type="spellStart"/>
      <w:r w:rsidRPr="00E816F2">
        <w:rPr>
          <w:rFonts w:ascii="Arial" w:hAnsi="Arial"/>
          <w:color w:val="002060"/>
          <w:sz w:val="24"/>
          <w:szCs w:val="24"/>
        </w:rPr>
        <w:t>Overliner</w:t>
      </w:r>
      <w:proofErr w:type="spellEnd"/>
      <w:r w:rsidRPr="00E816F2">
        <w:rPr>
          <w:rFonts w:ascii="Arial" w:hAnsi="Arial"/>
          <w:color w:val="002060"/>
          <w:sz w:val="24"/>
          <w:szCs w:val="24"/>
        </w:rPr>
        <w:t xml:space="preserve"> (OL) comprometidas en el plan de producción</w:t>
      </w:r>
      <w:proofErr w:type="gramStart"/>
      <w:r w:rsidRPr="00E816F2">
        <w:rPr>
          <w:rFonts w:ascii="Arial" w:hAnsi="Arial"/>
          <w:color w:val="002060"/>
          <w:sz w:val="24"/>
          <w:szCs w:val="24"/>
        </w:rPr>
        <w:t>.(</w:t>
      </w:r>
      <w:proofErr w:type="gramEnd"/>
      <w:r w:rsidRPr="00E816F2">
        <w:rPr>
          <w:rFonts w:ascii="Arial" w:hAnsi="Arial"/>
          <w:color w:val="002060"/>
          <w:sz w:val="24"/>
          <w:szCs w:val="24"/>
        </w:rPr>
        <w:t>M 9.500 Toneladas)</w:t>
      </w:r>
    </w:p>
    <w:p w:rsidR="00E816F2" w:rsidRPr="00E816F2" w:rsidRDefault="00E816F2" w:rsidP="00E816F2">
      <w:pPr>
        <w:jc w:val="both"/>
        <w:rPr>
          <w:rFonts w:ascii="Arial" w:hAnsi="Arial"/>
          <w:color w:val="002060"/>
          <w:sz w:val="24"/>
          <w:szCs w:val="24"/>
        </w:rPr>
      </w:pPr>
    </w:p>
    <w:p w:rsidR="00E816F2" w:rsidRPr="00E816F2" w:rsidRDefault="00E816F2" w:rsidP="00E816F2">
      <w:pPr>
        <w:jc w:val="both"/>
        <w:rPr>
          <w:rFonts w:ascii="Arial" w:hAnsi="Arial"/>
          <w:color w:val="002060"/>
          <w:sz w:val="24"/>
          <w:szCs w:val="24"/>
        </w:rPr>
      </w:pPr>
      <w:r w:rsidRPr="00E816F2">
        <w:rPr>
          <w:rFonts w:ascii="Arial" w:hAnsi="Arial"/>
          <w:color w:val="002060"/>
          <w:sz w:val="24"/>
          <w:szCs w:val="24"/>
        </w:rPr>
        <w:t xml:space="preserve">El tonelaje transportado será controlado periódicamente por medio de mediciones con </w:t>
      </w:r>
      <w:proofErr w:type="spellStart"/>
      <w:r w:rsidRPr="00E816F2">
        <w:rPr>
          <w:rFonts w:ascii="Arial" w:hAnsi="Arial"/>
          <w:color w:val="002060"/>
          <w:sz w:val="24"/>
          <w:szCs w:val="24"/>
        </w:rPr>
        <w:t>pesómetro</w:t>
      </w:r>
      <w:proofErr w:type="spellEnd"/>
      <w:r w:rsidRPr="00E816F2">
        <w:rPr>
          <w:rFonts w:ascii="Arial" w:hAnsi="Arial"/>
          <w:color w:val="002060"/>
          <w:sz w:val="24"/>
          <w:szCs w:val="24"/>
        </w:rPr>
        <w:t xml:space="preserve"> en el Camión de extracción (CAEX), asegurando la eficiencia de las mediciones realizadas por medio del control de los equipos de medición y ensayo según certificación correspondiente.</w:t>
      </w:r>
    </w:p>
    <w:p w:rsidR="00403F10" w:rsidRPr="00E816F2" w:rsidRDefault="00403F10" w:rsidP="00403F10">
      <w:pPr>
        <w:spacing w:after="0" w:line="240" w:lineRule="auto"/>
        <w:jc w:val="both"/>
        <w:rPr>
          <w:rFonts w:ascii="Arial" w:eastAsia="Times New Roman" w:hAnsi="Arial" w:cs="Arial"/>
          <w:b/>
          <w:color w:val="4F81BD" w:themeColor="accent1"/>
          <w:sz w:val="24"/>
          <w:szCs w:val="24"/>
          <w:lang w:val="es-ES" w:eastAsia="es-ES"/>
        </w:rPr>
      </w:pPr>
    </w:p>
    <w:p w:rsidR="00403F10" w:rsidRPr="00403F10" w:rsidRDefault="00403F10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val="es-ES" w:eastAsia="es-ES"/>
        </w:rPr>
      </w:pPr>
    </w:p>
    <w:p w:rsidR="00403F10" w:rsidRDefault="00403F10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</w:pPr>
    </w:p>
    <w:p w:rsidR="00403F10" w:rsidRPr="000A767F" w:rsidRDefault="00403F10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</w:pPr>
    </w:p>
    <w:p w:rsidR="000A767F" w:rsidRPr="000A767F" w:rsidRDefault="000A767F" w:rsidP="000A7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 xml:space="preserve">FAM  AMERICA LATINA MAQUINARIAS LTDA. </w:t>
      </w:r>
      <w:r w:rsidRPr="000A767F">
        <w:rPr>
          <w:rFonts w:ascii="Arial" w:eastAsia="Times New Roman" w:hAnsi="Arial" w:cs="Arial"/>
          <w:b/>
          <w:color w:val="333399"/>
          <w:sz w:val="24"/>
          <w:szCs w:val="24"/>
          <w:lang w:val="es-ES" w:eastAsia="es-ES"/>
        </w:rPr>
        <w:t>(2013</w:t>
      </w:r>
      <w:r w:rsidR="00E65278">
        <w:rPr>
          <w:rFonts w:ascii="Arial" w:eastAsia="Times New Roman" w:hAnsi="Arial" w:cs="Arial"/>
          <w:b/>
          <w:color w:val="333399"/>
          <w:sz w:val="24"/>
          <w:szCs w:val="24"/>
          <w:lang w:val="es-ES" w:eastAsia="es-ES"/>
        </w:rPr>
        <w:t>-2015</w:t>
      </w:r>
      <w:r w:rsidRPr="000A767F">
        <w:rPr>
          <w:rFonts w:ascii="Arial" w:eastAsia="Times New Roman" w:hAnsi="Arial" w:cs="Arial"/>
          <w:b/>
          <w:color w:val="333399"/>
          <w:sz w:val="24"/>
          <w:szCs w:val="24"/>
          <w:lang w:val="es-ES" w:eastAsia="es-ES"/>
        </w:rPr>
        <w:t>)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 xml:space="preserve"> Administrador de Contratos No. 8500055528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Contrato BHP Billiton Minera Spence.</w:t>
      </w:r>
    </w:p>
    <w:p w:rsidR="000A767F" w:rsidRPr="000A767F" w:rsidRDefault="000A767F" w:rsidP="000A767F">
      <w:p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Mantención y </w:t>
      </w: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>Preparativos</w:t>
      </w: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 apoyo de Staker de Botadero.</w:t>
      </w:r>
    </w:p>
    <w:p w:rsidR="000A767F" w:rsidRPr="000A767F" w:rsidRDefault="000A767F" w:rsidP="000A767F">
      <w:p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>Apoyo a rotopala y apilador de los Pads de Oxido y Sulfuros.</w:t>
      </w:r>
    </w:p>
    <w:p w:rsidR="000A767F" w:rsidRPr="000A767F" w:rsidRDefault="000A767F" w:rsidP="000A767F">
      <w:p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>Mantenimiento a los equipos de área seca (Rotopala, Apilador,Stake,chancadores Primarios, Secundarios y terciarios más el edificio de Harneros por otro lado en el área de  apilamiento Puentes ,Feeders, correas Trasportadoras y  tripper)</w:t>
      </w:r>
    </w:p>
    <w:p w:rsidR="000A767F" w:rsidRPr="000A767F" w:rsidRDefault="000A767F" w:rsidP="000A767F">
      <w:p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</w:p>
    <w:p w:rsidR="000A767F" w:rsidRPr="000A767F" w:rsidRDefault="000A767F" w:rsidP="000A76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>NORTERRA Y COMPAÑÍA LTDA. (2006 al 2013)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 xml:space="preserve">Gerente Administrador de Contratos – BHP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Billiton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 xml:space="preserve"> Minera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Spence</w:t>
      </w:r>
      <w:proofErr w:type="spellEnd"/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10"/>
          <w:szCs w:val="28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Representante de la compañía frente a la empresa mandante, con respecto a lo relacionado a las solicitudes, alcances, costos, entre otros.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Liderar los departamentos de mantención, abastecimiento, planificación y oficina técnica.</w:t>
      </w:r>
    </w:p>
    <w:p w:rsidR="000A767F" w:rsidRPr="000A767F" w:rsidRDefault="000A767F" w:rsidP="000A767F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Establecer Políticas, elaborar planes de seguridad y liderar el mejoramiento continuo.</w:t>
      </w:r>
    </w:p>
    <w:p w:rsidR="000A767F" w:rsidRPr="000A767F" w:rsidRDefault="000A767F" w:rsidP="000A767F">
      <w:p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Contrato BHP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Billiton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Minera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Spence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-  </w:t>
      </w: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>Administrar el contrato desde el año 2006 e incorporar y negociar nuevos requerimientos del mandante, los cuales se han reflejado en un incrementado de 76% (US$ 116.000.000) de los contratos base (US$ 66.000.000), teniendo bajo su responsabilidad un patrimonio de MUS$ 87.</w:t>
      </w:r>
    </w:p>
    <w:p w:rsidR="000A767F" w:rsidRPr="000A767F" w:rsidRDefault="000A767F" w:rsidP="000A767F">
      <w:p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b/>
          <w:color w:val="333399"/>
          <w:sz w:val="14"/>
          <w:szCs w:val="28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Contrato BHP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Billiton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Minera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Spence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– Carguío - Transporte de Mineral ripio lixiviado</w:t>
      </w:r>
      <w:r w:rsidRPr="000A767F">
        <w:rPr>
          <w:rFonts w:ascii="Arial" w:eastAsia="Times New Roman" w:hAnsi="Arial" w:cs="Arial"/>
          <w:color w:val="1F497D"/>
          <w:sz w:val="26"/>
          <w:szCs w:val="26"/>
          <w:lang w:val="es-ES" w:eastAsia="es-ES"/>
        </w:rPr>
        <w:t xml:space="preserve"> </w:t>
      </w: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 xml:space="preserve">por la suma alzada de US$ 42.000.000, gestionando con la gerencia de operaciones (planta) desde el 01 de Diciembre del 2011 hasta Noviembre del 2014. 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1F497D"/>
          <w:sz w:val="12"/>
          <w:szCs w:val="28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Contrato BHP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Billiton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Minera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Spence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– Transporte de Mineral de ripio lixiviado</w:t>
      </w:r>
      <w:r w:rsidRPr="000A767F">
        <w:rPr>
          <w:rFonts w:ascii="Arial" w:eastAsia="Times New Roman" w:hAnsi="Arial" w:cs="Arial"/>
          <w:color w:val="1F497D"/>
          <w:sz w:val="26"/>
          <w:szCs w:val="26"/>
          <w:lang w:val="es-ES" w:eastAsia="es-ES"/>
        </w:rPr>
        <w:t xml:space="preserve"> </w:t>
      </w: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 xml:space="preserve">por suma alzada de US$ 24.000.000, gestionando con las gerencias de Operaciones, Ingeniería y de servicio requerimientos </w:t>
      </w: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lastRenderedPageBreak/>
        <w:t>específicos, como el transporte de 12.000.000 toneladas de Mineral de ripios lixiviados hacia botaderos de estéril, hasta Noviembre del 2011.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1F497D"/>
          <w:sz w:val="26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Contrato BHP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Billiton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Minera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Spence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– Fases 1 y Fase 2 Movimiento de tierra</w:t>
      </w:r>
      <w:r w:rsidRPr="000A767F">
        <w:rPr>
          <w:rFonts w:ascii="Arial" w:eastAsia="Times New Roman" w:hAnsi="Arial" w:cs="Arial"/>
          <w:color w:val="1F497D"/>
          <w:sz w:val="24"/>
          <w:szCs w:val="24"/>
          <w:lang w:val="es-ES" w:eastAsia="es-ES"/>
        </w:rPr>
        <w:t xml:space="preserve"> </w:t>
      </w: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>interior mina, GDN, servicios de apoyo al área de operaciones y geología en sondaje y prospección fuera del área de la mina, hasta Octubre del 2009.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6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Contrato BHP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Billiton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Minera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>Spence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4"/>
          <w:szCs w:val="20"/>
          <w:lang w:val="es-ES" w:eastAsia="es-ES"/>
        </w:rPr>
        <w:t xml:space="preserve"> – Fase 2 y Fase 3 Movimiento de tierra para las pilas de lixiviación</w:t>
      </w:r>
      <w:r w:rsidRPr="000A767F">
        <w:rPr>
          <w:rFonts w:ascii="Arial" w:eastAsia="Times New Roman" w:hAnsi="Arial" w:cs="Arial"/>
          <w:color w:val="1F497D"/>
          <w:sz w:val="24"/>
          <w:szCs w:val="24"/>
          <w:lang w:val="es-ES" w:eastAsia="es-ES"/>
        </w:rPr>
        <w:t>,</w:t>
      </w:r>
      <w:r w:rsidRPr="000A767F">
        <w:rPr>
          <w:rFonts w:ascii="Arial" w:eastAsia="Times New Roman" w:hAnsi="Arial" w:cs="Arial"/>
          <w:b/>
          <w:color w:val="1F497D"/>
          <w:sz w:val="24"/>
          <w:szCs w:val="24"/>
          <w:lang w:val="es-ES" w:eastAsia="es-ES"/>
        </w:rPr>
        <w:t xml:space="preserve"> </w:t>
      </w:r>
      <w:r w:rsidRPr="000A767F">
        <w:rPr>
          <w:rFonts w:ascii="Arial" w:eastAsia="Times New Roman" w:hAnsi="Arial" w:cs="Arial"/>
          <w:color w:val="333399"/>
          <w:sz w:val="24"/>
          <w:szCs w:val="20"/>
          <w:lang w:val="es-ES" w:eastAsia="es-ES"/>
        </w:rPr>
        <w:t>gestionando recursos humanos, disponibilidad, mantención vial del sector pilas de aglomerado, entre otros, para garantizar la continuidad de la operación, hasta octubre del 2009.</w:t>
      </w:r>
    </w:p>
    <w:p w:rsidR="000A767F" w:rsidRPr="000A767F" w:rsidRDefault="000A767F" w:rsidP="000A767F">
      <w:pPr>
        <w:spacing w:after="0" w:line="240" w:lineRule="auto"/>
        <w:jc w:val="both"/>
        <w:rPr>
          <w:rFonts w:ascii="Arial" w:eastAsia="Times New Roman" w:hAnsi="Arial" w:cs="Arial"/>
          <w:color w:val="1F497D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1F497D"/>
          <w:sz w:val="26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>TECSA EQUIPOS Y SERVICIOS S.A. (2005)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Gerente Operaciones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Responsable de elaborar las diversas directrices y políticas de la Gerencia de Operaciones de la Compañía.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un patrimonio los cuales ascienden a un monto de MUS$87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equipos de trabajo bajo su dirección, correspondiendo a 250 personas, ubicadas en Santiago, Norte y Sur de nuestro país.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Gestionar la implementación, en las diferentes áreas a su cargo, del Sistema Corporativo EXAT </w:t>
      </w: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Holandes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 de la Compañía.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Implementar un Sistema de Mejoramiento Continuo (Sistema de Gestión Estratégica - </w:t>
      </w: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Balanced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 </w:t>
      </w: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Scorecard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).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6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>CONSTRUCTORA ANDREU LTDA   (2002 a 2004)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 xml:space="preserve">Jefe de Operaciones y Maquinarias 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000080"/>
          <w:sz w:val="12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Gestionar la negociación, evaluación, adquisición y compra de Maquinaria y equipos.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Responsable de la planificación y control de la gestión de Maquinaria y equipos.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la Mantención y logística de la Flota de Camiones.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Elaborar informes de gestión sobre los costos, control de stock y futuros proyectos de mejora y adquisiciones.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Liderar equipos de alto rendimiento para diversos proyectos de la Compañía.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Crear una flota de Maquinarias de alto rendimiento, abarcando un patrimonio de MUS$ 2,5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Implementar un sistema de mejoramiento continuo en el área de Operaciones y Maquinaría.</w:t>
      </w:r>
    </w:p>
    <w:p w:rsidR="000A767F" w:rsidRPr="000A767F" w:rsidRDefault="000A767F" w:rsidP="000A767F">
      <w:p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6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6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6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28"/>
          <w:szCs w:val="26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lastRenderedPageBreak/>
        <w:t>GEOVITTA SERVICIOS S.A.  (1997 a 2001)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Administrador de Contratos – Codelco División El Teniente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Proyecto de enlace (4 etapas) Mina Esmeralda construcción de túneles de ventilación para el área de producción mina.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Proyecto Reservas Norte Sector Andesita construcción de túneles de ventilación para el área de producción Mina.</w:t>
      </w:r>
    </w:p>
    <w:p w:rsidR="000A767F" w:rsidRPr="000A767F" w:rsidRDefault="000A767F" w:rsidP="000A767F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íntegramente al grupo de profesionales, administrativos, operarios, proveedores y contratistas de las diferentes obras en forma simultánea, aproximadamente 100 personas y 20 empresas externas.</w:t>
      </w: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6"/>
          <w:szCs w:val="26"/>
          <w:lang w:val="es-ES" w:eastAsia="es-ES"/>
        </w:rPr>
      </w:pPr>
    </w:p>
    <w:p w:rsidR="000A767F" w:rsidRPr="000A767F" w:rsidRDefault="000A767F" w:rsidP="000A767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 xml:space="preserve">FERROVIAL AGROMAN CHILE S.A. (1997 a 1998) 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Jefe de  Maquinaria - Proyecto Santiago –Talca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12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2 Plantas de Asfalto y 2 Plantas de Áridos.</w:t>
      </w:r>
    </w:p>
    <w:p w:rsidR="000A767F" w:rsidRPr="000A767F" w:rsidRDefault="000A767F" w:rsidP="000A767F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Administrar los contratos de los Sub-Contratistas </w:t>
      </w:r>
    </w:p>
    <w:p w:rsidR="000A767F" w:rsidRPr="000A767F" w:rsidRDefault="000A767F" w:rsidP="000A767F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Costear las Instalaciones del proyecto</w:t>
      </w:r>
    </w:p>
    <w:p w:rsidR="000A767F" w:rsidRPr="000A767F" w:rsidRDefault="000A767F" w:rsidP="000A767F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Responsable de la producción de las Plantas 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un patrimonio de MUS$ 15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12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right="-660"/>
        <w:jc w:val="both"/>
        <w:rPr>
          <w:rFonts w:ascii="Arial" w:eastAsia="Times New Roman" w:hAnsi="Arial" w:cs="Arial"/>
          <w:b/>
          <w:color w:val="333399"/>
          <w:sz w:val="20"/>
          <w:szCs w:val="26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right="-660"/>
        <w:jc w:val="both"/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>EMALAC S.A. (Empresa relacionada con el Grupo LAC - 1997)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right="-376"/>
        <w:jc w:val="both"/>
        <w:rPr>
          <w:rFonts w:ascii="Arial" w:eastAsia="Times New Roman" w:hAnsi="Arial" w:cs="Arial"/>
          <w:color w:val="333399"/>
          <w:sz w:val="28"/>
          <w:szCs w:val="26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 xml:space="preserve">INLAC LTDA. (Ingeniería y Construcción </w:t>
      </w:r>
      <w:proofErr w:type="spellStart"/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>Inlac</w:t>
      </w:r>
      <w:proofErr w:type="spellEnd"/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es-ES" w:eastAsia="es-ES"/>
        </w:rPr>
        <w:t xml:space="preserve"> Ltda. - 1993)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Jefe de Maquinarias y Equipos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Gestionar la adquisición Maquinaria y equipos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Planificar y Controlar las activos de la compañía (Maquinaria y Equipos)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las Mantenciones preventiva y correctiva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Supervisar la gestión de control de stock 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los costo involucrados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Supervisar la administración de los operadores y transportistas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Formar una flota de Maquinarias de alto rendimiento, abarcando un patrimonio de MUS$ 3,5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Crear un sistema logístico que generaba un monto de ingreso a la compañía de    US$ 800.000 mensual.</w:t>
      </w:r>
    </w:p>
    <w:p w:rsidR="000A767F" w:rsidRPr="000A767F" w:rsidRDefault="000A767F" w:rsidP="000A767F">
      <w:p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28"/>
          <w:szCs w:val="26"/>
          <w:lang w:val="de-DE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6"/>
          <w:lang w:val="de-DE" w:eastAsia="es-ES"/>
        </w:rPr>
        <w:t>GILDEMEISTER S.A.C.  (1990 a 1993)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</w:pPr>
      <w:r w:rsidRPr="000A767F">
        <w:rPr>
          <w:rFonts w:ascii="Arial" w:eastAsia="Times New Roman" w:hAnsi="Arial" w:cs="Arial"/>
          <w:b/>
          <w:color w:val="333399"/>
          <w:sz w:val="28"/>
          <w:szCs w:val="28"/>
          <w:lang w:val="es-ES" w:eastAsia="es-ES"/>
        </w:rPr>
        <w:t>Asesor Técnico C.A.T. - Minera el Inca / Proyecto San Cristóbal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jc w:val="both"/>
        <w:rPr>
          <w:rFonts w:ascii="Arial" w:eastAsia="Times New Roman" w:hAnsi="Arial" w:cs="Arial"/>
          <w:color w:val="333399"/>
          <w:sz w:val="12"/>
          <w:szCs w:val="24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Responsable de la planificación y control de procesos de los siguientes proyectos.</w:t>
      </w:r>
    </w:p>
    <w:p w:rsidR="000A767F" w:rsidRPr="000A767F" w:rsidRDefault="000A767F" w:rsidP="000A767F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Codelco Chile – División Chuquicamata</w:t>
      </w:r>
    </w:p>
    <w:p w:rsidR="000A767F" w:rsidRPr="000A767F" w:rsidRDefault="000A767F" w:rsidP="000A767F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Minera Escondida.</w:t>
      </w:r>
    </w:p>
    <w:p w:rsidR="000A767F" w:rsidRPr="000A767F" w:rsidRDefault="000A767F" w:rsidP="000A767F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Minera Mantos Blancos</w:t>
      </w:r>
    </w:p>
    <w:p w:rsidR="000A767F" w:rsidRPr="000A767F" w:rsidRDefault="000A767F" w:rsidP="000A767F">
      <w:pPr>
        <w:numPr>
          <w:ilvl w:val="0"/>
          <w:numId w:val="4"/>
        </w:numPr>
        <w:spacing w:after="0" w:line="240" w:lineRule="auto"/>
        <w:ind w:left="709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Soquimich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/Pedro de Valdivia/María Elena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Administrar al grupo de profesionales, administrativos, operarios, proveedores y contratistas de las diferentes obras en forma </w:t>
      </w: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simultanea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. </w:t>
      </w:r>
    </w:p>
    <w:p w:rsidR="000A767F" w:rsidRPr="000A767F" w:rsidRDefault="000A767F" w:rsidP="000A767F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Administrar los presupuestos de las diferentes obras.</w:t>
      </w: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12"/>
          <w:szCs w:val="26"/>
          <w:u w:val="single"/>
          <w:lang w:eastAsia="es-ES"/>
        </w:rPr>
      </w:pP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</w:pPr>
      <w:r w:rsidRPr="000A767F"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  <w:t>Antecedentes Académicos</w:t>
      </w:r>
    </w:p>
    <w:p w:rsidR="000A767F" w:rsidRPr="000A767F" w:rsidRDefault="000A767F" w:rsidP="000A767F">
      <w:pPr>
        <w:spacing w:after="0" w:line="240" w:lineRule="auto"/>
        <w:ind w:left="708" w:hanging="708"/>
        <w:rPr>
          <w:rFonts w:ascii="Arial" w:eastAsia="Times New Roman" w:hAnsi="Arial" w:cs="Arial"/>
          <w:color w:val="333399"/>
          <w:sz w:val="12"/>
          <w:szCs w:val="20"/>
          <w:lang w:val="es-ES" w:eastAsia="es-ES"/>
        </w:rPr>
      </w:pPr>
    </w:p>
    <w:p w:rsidR="000A767F" w:rsidRPr="000A767F" w:rsidRDefault="000A767F" w:rsidP="000A767F">
      <w:pPr>
        <w:numPr>
          <w:ilvl w:val="0"/>
          <w:numId w:val="5"/>
        </w:numPr>
        <w:spacing w:after="0" w:line="240" w:lineRule="auto"/>
        <w:ind w:right="-943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Titulado - Ingeniería Industrial Mención en Gestión - Universidad Técnica Federico Santa María</w:t>
      </w:r>
    </w:p>
    <w:p w:rsidR="000A767F" w:rsidRPr="000A767F" w:rsidRDefault="000A767F" w:rsidP="000A767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Ingeniero Mecánico - INACAP (1985 – 1987)</w:t>
      </w:r>
    </w:p>
    <w:p w:rsidR="000A767F" w:rsidRPr="000A767F" w:rsidRDefault="000A767F" w:rsidP="000A767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Técnico Superior en Mecánica - Mención en Hidráulica - INACAP (1982 – 1985)</w:t>
      </w: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000080"/>
          <w:sz w:val="24"/>
          <w:szCs w:val="24"/>
          <w:u w:val="single"/>
          <w:lang w:eastAsia="es-ES"/>
        </w:rPr>
      </w:pP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</w:pPr>
      <w:r w:rsidRPr="000A767F">
        <w:rPr>
          <w:rFonts w:ascii="Arial" w:eastAsia="Times New Roman" w:hAnsi="Arial" w:cs="Arial"/>
          <w:b/>
          <w:i/>
          <w:color w:val="333399"/>
          <w:sz w:val="28"/>
          <w:szCs w:val="26"/>
          <w:u w:val="single"/>
          <w:lang w:eastAsia="es-ES"/>
        </w:rPr>
        <w:t>Idioma</w:t>
      </w:r>
    </w:p>
    <w:p w:rsidR="000A767F" w:rsidRPr="000A767F" w:rsidRDefault="000A767F" w:rsidP="000A767F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12"/>
          <w:szCs w:val="20"/>
          <w:lang w:val="es-ES" w:eastAsia="es-ES"/>
        </w:rPr>
      </w:pPr>
    </w:p>
    <w:p w:rsidR="000A767F" w:rsidRPr="000A767F" w:rsidRDefault="000A767F" w:rsidP="000A767F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Inglés Técnico.</w:t>
      </w:r>
    </w:p>
    <w:p w:rsidR="000A767F" w:rsidRPr="000A767F" w:rsidRDefault="000A767F" w:rsidP="000A767F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000080"/>
          <w:sz w:val="20"/>
          <w:szCs w:val="20"/>
          <w:lang w:val="es-ES" w:eastAsia="es-ES"/>
        </w:rPr>
      </w:pP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</w:pPr>
      <w:r w:rsidRPr="000A767F"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  <w:t>Manejo de Softwares</w:t>
      </w:r>
    </w:p>
    <w:p w:rsidR="000A767F" w:rsidRPr="000A767F" w:rsidRDefault="000A767F" w:rsidP="000A767F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12"/>
          <w:szCs w:val="20"/>
          <w:lang w:val="es-ES" w:eastAsia="es-ES"/>
        </w:rPr>
      </w:pPr>
    </w:p>
    <w:p w:rsidR="000A767F" w:rsidRPr="000A767F" w:rsidRDefault="000A767F" w:rsidP="000A767F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Maintenpro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 (presupuestos, planificación, mantención y costos), </w:t>
      </w: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Proyect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, .</w:t>
      </w: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Acces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, </w:t>
      </w: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Acsses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 </w:t>
      </w:r>
      <w:proofErr w:type="spellStart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Solver</w:t>
      </w:r>
      <w:proofErr w:type="spellEnd"/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, Office, </w:t>
      </w:r>
    </w:p>
    <w:p w:rsidR="000A767F" w:rsidRPr="000A767F" w:rsidRDefault="000A767F" w:rsidP="000A767F">
      <w:p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000080"/>
          <w:sz w:val="20"/>
          <w:szCs w:val="20"/>
          <w:lang w:val="es-ES" w:eastAsia="es-ES"/>
        </w:rPr>
      </w:pP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</w:pPr>
      <w:r w:rsidRPr="000A767F"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  <w:t>Viajes de Negocios</w:t>
      </w:r>
    </w:p>
    <w:p w:rsidR="000A767F" w:rsidRPr="000A767F" w:rsidRDefault="000A767F" w:rsidP="000A767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0A767F" w:rsidRPr="000A767F" w:rsidRDefault="000A767F" w:rsidP="000A767F">
      <w:pPr>
        <w:spacing w:after="120" w:line="240" w:lineRule="auto"/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 xml:space="preserve">USA – 9 estados – (visita a la empresa John </w:t>
      </w:r>
      <w:proofErr w:type="spellStart"/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>Deere</w:t>
      </w:r>
      <w:proofErr w:type="spellEnd"/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>)</w:t>
      </w:r>
    </w:p>
    <w:p w:rsidR="000A767F" w:rsidRPr="000A767F" w:rsidRDefault="000A767F" w:rsidP="000A767F">
      <w:pPr>
        <w:spacing w:after="120" w:line="240" w:lineRule="auto"/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>Brasil – 2 ciudades (visita a la empresa Volvo)</w:t>
      </w:r>
    </w:p>
    <w:p w:rsidR="000A767F" w:rsidRPr="000A767F" w:rsidRDefault="000A767F" w:rsidP="000A767F">
      <w:pPr>
        <w:spacing w:after="120" w:line="240" w:lineRule="auto"/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 xml:space="preserve">Brasil – 3 ciudades (visita a la empresa </w:t>
      </w:r>
      <w:proofErr w:type="spellStart"/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>Dynapac</w:t>
      </w:r>
      <w:proofErr w:type="spellEnd"/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>)</w:t>
      </w:r>
    </w:p>
    <w:p w:rsidR="000A767F" w:rsidRPr="000A767F" w:rsidRDefault="000A767F" w:rsidP="000A767F">
      <w:pPr>
        <w:spacing w:after="120" w:line="240" w:lineRule="auto"/>
        <w:rPr>
          <w:rFonts w:ascii="Arial" w:eastAsia="Times New Roman" w:hAnsi="Arial" w:cs="Arial"/>
          <w:color w:val="000080"/>
          <w:sz w:val="12"/>
          <w:szCs w:val="20"/>
          <w:lang w:val="es-ES" w:eastAsia="es-ES"/>
        </w:rPr>
      </w:pP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</w:pPr>
      <w:r w:rsidRPr="000A767F"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  <w:t>Antecedentes Personales</w:t>
      </w:r>
    </w:p>
    <w:p w:rsidR="000A767F" w:rsidRPr="000A767F" w:rsidRDefault="000A767F" w:rsidP="000A767F">
      <w:pPr>
        <w:spacing w:after="0" w:line="240" w:lineRule="auto"/>
        <w:rPr>
          <w:rFonts w:ascii="Arial" w:eastAsia="Times New Roman" w:hAnsi="Arial" w:cs="Arial"/>
          <w:color w:val="000080"/>
          <w:sz w:val="12"/>
          <w:szCs w:val="20"/>
          <w:lang w:eastAsia="es-ES"/>
        </w:rPr>
      </w:pPr>
    </w:p>
    <w:p w:rsidR="000A767F" w:rsidRPr="000A767F" w:rsidRDefault="000A767F" w:rsidP="000A767F">
      <w:pPr>
        <w:spacing w:after="120" w:line="240" w:lineRule="auto"/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>Rut:</w:t>
      </w:r>
      <w:r w:rsidR="00E65278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 xml:space="preserve"> 9.608.083-2, casado, 2 hijas 23 y 19</w:t>
      </w:r>
      <w:bookmarkStart w:id="0" w:name="_GoBack"/>
      <w:bookmarkEnd w:id="0"/>
      <w:r w:rsidRPr="000A767F">
        <w:rPr>
          <w:rFonts w:ascii="Arial" w:eastAsia="Times New Roman" w:hAnsi="Arial" w:cs="Arial"/>
          <w:color w:val="000080"/>
          <w:sz w:val="24"/>
          <w:szCs w:val="24"/>
          <w:lang w:val="es-ES" w:eastAsia="es-ES"/>
        </w:rPr>
        <w:t xml:space="preserve"> años.</w:t>
      </w:r>
    </w:p>
    <w:p w:rsidR="000A767F" w:rsidRPr="000A767F" w:rsidRDefault="000A767F" w:rsidP="000A767F">
      <w:pPr>
        <w:spacing w:after="120" w:line="240" w:lineRule="auto"/>
        <w:rPr>
          <w:rFonts w:ascii="Arial" w:eastAsia="Times New Roman" w:hAnsi="Arial" w:cs="Arial"/>
          <w:color w:val="000080"/>
          <w:sz w:val="12"/>
          <w:szCs w:val="20"/>
          <w:lang w:val="es-ES" w:eastAsia="es-ES"/>
        </w:rPr>
      </w:pPr>
    </w:p>
    <w:p w:rsidR="000A767F" w:rsidRPr="000A767F" w:rsidRDefault="000A767F" w:rsidP="000A767F">
      <w:pPr>
        <w:keepNext/>
        <w:spacing w:after="0" w:line="240" w:lineRule="auto"/>
        <w:outlineLvl w:val="0"/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</w:pPr>
      <w:r w:rsidRPr="000A767F">
        <w:rPr>
          <w:rFonts w:ascii="Arial" w:eastAsia="Times New Roman" w:hAnsi="Arial" w:cs="Arial"/>
          <w:b/>
          <w:i/>
          <w:color w:val="333399"/>
          <w:sz w:val="28"/>
          <w:szCs w:val="28"/>
          <w:u w:val="single"/>
          <w:lang w:eastAsia="es-ES"/>
        </w:rPr>
        <w:t>Perfeccionamiento</w:t>
      </w:r>
    </w:p>
    <w:p w:rsidR="000A767F" w:rsidRPr="000A767F" w:rsidRDefault="000A767F" w:rsidP="000A767F">
      <w:pPr>
        <w:spacing w:after="0" w:line="240" w:lineRule="auto"/>
        <w:rPr>
          <w:rFonts w:ascii="Arial" w:eastAsia="Times New Roman" w:hAnsi="Arial" w:cs="Arial"/>
          <w:sz w:val="12"/>
          <w:szCs w:val="20"/>
          <w:lang w:eastAsia="es-ES"/>
        </w:rPr>
      </w:pPr>
    </w:p>
    <w:p w:rsidR="000A767F" w:rsidRPr="000A767F" w:rsidRDefault="000A767F" w:rsidP="000A767F">
      <w:pPr>
        <w:numPr>
          <w:ilvl w:val="0"/>
          <w:numId w:val="1"/>
        </w:num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Curso de Tecnología de Maquinarias en general de la línea VOLVO (2005). Fábrica de BRASIL en la ciudad de CURITIBA.</w:t>
      </w:r>
    </w:p>
    <w:p w:rsidR="000A767F" w:rsidRPr="000A767F" w:rsidRDefault="000A767F" w:rsidP="000A767F">
      <w:pPr>
        <w:numPr>
          <w:ilvl w:val="0"/>
          <w:numId w:val="1"/>
        </w:num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Curso de Control y Tecnología de Maquinarias en general de la línea JOHN DEERE  (2005). Fábrica de USA estado de Colorado.</w:t>
      </w:r>
    </w:p>
    <w:p w:rsidR="000A767F" w:rsidRPr="000A767F" w:rsidRDefault="000A767F" w:rsidP="000A767F">
      <w:pPr>
        <w:numPr>
          <w:ilvl w:val="0"/>
          <w:numId w:val="1"/>
        </w:num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Curso de “Preparación y Evaluación de Proyectos”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left="708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Facultad de Ciencias Económicas y Administrativas de la Universidad de Chile.</w:t>
      </w:r>
    </w:p>
    <w:p w:rsidR="000A767F" w:rsidRPr="000A767F" w:rsidRDefault="000A767F" w:rsidP="000A767F">
      <w:pPr>
        <w:numPr>
          <w:ilvl w:val="0"/>
          <w:numId w:val="1"/>
        </w:num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Curso de “Técnicas de Control y Gestión Industrial”.</w:t>
      </w:r>
    </w:p>
    <w:p w:rsidR="000A767F" w:rsidRPr="000A767F" w:rsidRDefault="000A767F" w:rsidP="000A767F">
      <w:pPr>
        <w:numPr>
          <w:ilvl w:val="12"/>
          <w:numId w:val="0"/>
        </w:numPr>
        <w:spacing w:after="0" w:line="240" w:lineRule="auto"/>
        <w:ind w:left="705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 xml:space="preserve">Departamento de Ingeniería de Mantención Industrial de la Universidad de Santiago de Chile </w:t>
      </w:r>
    </w:p>
    <w:p w:rsidR="000A767F" w:rsidRPr="000A767F" w:rsidRDefault="000A767F" w:rsidP="000A767F">
      <w:pPr>
        <w:numPr>
          <w:ilvl w:val="0"/>
          <w:numId w:val="1"/>
        </w:numPr>
        <w:tabs>
          <w:tab w:val="left" w:pos="705"/>
        </w:tabs>
        <w:spacing w:after="0" w:line="240" w:lineRule="auto"/>
        <w:jc w:val="both"/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</w:pPr>
      <w:r w:rsidRPr="000A767F">
        <w:rPr>
          <w:rFonts w:ascii="Arial" w:eastAsia="Times New Roman" w:hAnsi="Arial" w:cs="Arial"/>
          <w:color w:val="333399"/>
          <w:sz w:val="24"/>
          <w:szCs w:val="24"/>
          <w:lang w:val="es-ES" w:eastAsia="es-ES"/>
        </w:rPr>
        <w:t>Curso de Tecnología de Maquinarias en general de la línea de compactación línea DYNAPAC  (1997). Fábrica de BRASIL en la ciudad de SAO PAULO.</w:t>
      </w:r>
    </w:p>
    <w:p w:rsidR="002571E4" w:rsidRDefault="002571E4"/>
    <w:sectPr w:rsidR="002571E4" w:rsidSect="00ED7EBB">
      <w:pgSz w:w="12240" w:h="15840" w:code="1"/>
      <w:pgMar w:top="964" w:right="1701" w:bottom="96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807F9E"/>
    <w:multiLevelType w:val="hybridMultilevel"/>
    <w:tmpl w:val="4C2E1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71C0A"/>
    <w:multiLevelType w:val="hybridMultilevel"/>
    <w:tmpl w:val="CF241D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FD1A70"/>
    <w:multiLevelType w:val="hybridMultilevel"/>
    <w:tmpl w:val="F00E03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26F"/>
    <w:multiLevelType w:val="hybridMultilevel"/>
    <w:tmpl w:val="831897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204D1B"/>
    <w:multiLevelType w:val="hybridMultilevel"/>
    <w:tmpl w:val="829294FC"/>
    <w:lvl w:ilvl="0" w:tplc="0C0A000B">
      <w:start w:val="1"/>
      <w:numFmt w:val="bullet"/>
      <w:lvlText w:val="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6">
    <w:nsid w:val="7D9F02B5"/>
    <w:multiLevelType w:val="hybridMultilevel"/>
    <w:tmpl w:val="1BFCD7F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979"/>
        <w:numFmt w:val="bullet"/>
        <w:lvlText w:val="-"/>
        <w:legacy w:legacy="1" w:legacySpace="0" w:legacyIndent="705"/>
        <w:lvlJc w:val="left"/>
        <w:pPr>
          <w:ind w:left="705" w:hanging="705"/>
        </w:pPr>
      </w:lvl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59"/>
    <w:rsid w:val="000A767F"/>
    <w:rsid w:val="000D2A59"/>
    <w:rsid w:val="00224D5A"/>
    <w:rsid w:val="002571E4"/>
    <w:rsid w:val="00403F10"/>
    <w:rsid w:val="004E5C32"/>
    <w:rsid w:val="00652DEC"/>
    <w:rsid w:val="00B516A0"/>
    <w:rsid w:val="00B649A9"/>
    <w:rsid w:val="00B77E4B"/>
    <w:rsid w:val="00D14151"/>
    <w:rsid w:val="00E65278"/>
    <w:rsid w:val="00E816F2"/>
    <w:rsid w:val="00ED2CDF"/>
    <w:rsid w:val="00EF0145"/>
    <w:rsid w:val="00F1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6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6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6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6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Krumel</dc:creator>
  <cp:lastModifiedBy>Javiera Krumel</cp:lastModifiedBy>
  <cp:revision>3</cp:revision>
  <dcterms:created xsi:type="dcterms:W3CDTF">2016-04-09T17:15:00Z</dcterms:created>
  <dcterms:modified xsi:type="dcterms:W3CDTF">2016-04-09T17:16:00Z</dcterms:modified>
</cp:coreProperties>
</file>